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35CA2">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国道京漠公路加格达奇至瓦拉干段改扩建工程项目新林区宏图镇配套取料</w:t>
      </w:r>
    </w:p>
    <w:p w14:paraId="7CF438CF">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场采矿权挂牌出让公告</w:t>
      </w:r>
    </w:p>
    <w:p w14:paraId="57A73D51">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新矿告〔2025〕1号</w:t>
      </w:r>
    </w:p>
    <w:p w14:paraId="2C0C29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中华人民共和国矿产资源法》、《矿业权出让交易规则》（自然资规〔2023〕1号）等有关规定，新林区自然资源局拟以挂牌方式公开出让国道京漠公路加格达奇至瓦拉干段改扩建工程项目新林区宏图镇配套取料场采矿权。现将有关事项公告如下：</w:t>
      </w:r>
    </w:p>
    <w:p w14:paraId="7E4CAD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一、出让人</w:t>
      </w:r>
    </w:p>
    <w:p w14:paraId="71037E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名称：新林区自然资源局</w:t>
      </w:r>
    </w:p>
    <w:p w14:paraId="37222C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地址：大兴安岭地区新林区新林镇永安路53号</w:t>
      </w:r>
    </w:p>
    <w:p w14:paraId="1E7741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二、矿业权交易平台</w:t>
      </w:r>
    </w:p>
    <w:p w14:paraId="122BAE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名称：黑龙江省公共资源交易网</w:t>
      </w:r>
    </w:p>
    <w:p w14:paraId="662EEA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网址：http://ggzyjyw.hlj.gov.cn/</w:t>
      </w:r>
    </w:p>
    <w:p w14:paraId="6782B0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三、出让采矿权基本情况</w:t>
      </w:r>
    </w:p>
    <w:p w14:paraId="029036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项目名称：国道京漠公路加格达奇至瓦拉干段改扩建工程项目新林区宏图镇配套取料场</w:t>
      </w:r>
    </w:p>
    <w:p w14:paraId="0FCC4A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开采矿种：建筑用花岗岩</w:t>
      </w:r>
    </w:p>
    <w:p w14:paraId="613509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地理位置：新林区宏图镇</w:t>
      </w:r>
    </w:p>
    <w:p w14:paraId="08A7E4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矿区面积及拐点坐标：矿区范围由17个拐点圈定，面积0.0468K㎡。</w:t>
      </w:r>
      <w:bookmarkStart w:id="0" w:name="_GoBack"/>
      <w:bookmarkEnd w:id="0"/>
      <w:r>
        <w:rPr>
          <w:rFonts w:hint="eastAsia" w:ascii="仿宋_GB2312" w:hAnsi="仿宋_GB2312" w:eastAsia="仿宋_GB2312" w:cs="仿宋_GB2312"/>
          <w:sz w:val="32"/>
          <w:szCs w:val="32"/>
        </w:rPr>
        <w:t>拐点坐标如下（2000国家大地坐标）：</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84"/>
        <w:gridCol w:w="3084"/>
        <w:gridCol w:w="3351"/>
      </w:tblGrid>
      <w:tr w14:paraId="2284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49357DE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1810" w:type="pct"/>
            <w:shd w:val="clear" w:color="auto" w:fill="auto"/>
            <w:noWrap/>
            <w:vAlign w:val="center"/>
          </w:tcPr>
          <w:p w14:paraId="7B7C6B6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X</w:t>
            </w:r>
          </w:p>
        </w:tc>
        <w:tc>
          <w:tcPr>
            <w:tcW w:w="1965" w:type="pct"/>
            <w:shd w:val="clear" w:color="auto" w:fill="auto"/>
            <w:noWrap/>
            <w:vAlign w:val="center"/>
          </w:tcPr>
          <w:p w14:paraId="612496F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Y</w:t>
            </w:r>
          </w:p>
        </w:tc>
      </w:tr>
      <w:tr w14:paraId="0241A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684E1B2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810" w:type="pct"/>
            <w:shd w:val="clear" w:color="auto" w:fill="auto"/>
            <w:noWrap/>
            <w:vAlign w:val="center"/>
          </w:tcPr>
          <w:p w14:paraId="462BEDE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5721946.43 </w:t>
            </w:r>
          </w:p>
        </w:tc>
        <w:tc>
          <w:tcPr>
            <w:tcW w:w="1965" w:type="pct"/>
            <w:shd w:val="clear" w:color="auto" w:fill="auto"/>
            <w:noWrap/>
            <w:vAlign w:val="center"/>
          </w:tcPr>
          <w:p w14:paraId="5603204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41583984.79 </w:t>
            </w:r>
          </w:p>
        </w:tc>
      </w:tr>
      <w:tr w14:paraId="5D00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32877AC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810" w:type="pct"/>
            <w:shd w:val="clear" w:color="auto" w:fill="auto"/>
            <w:noWrap/>
            <w:vAlign w:val="center"/>
          </w:tcPr>
          <w:p w14:paraId="4ABFF15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5722013.02 </w:t>
            </w:r>
          </w:p>
        </w:tc>
        <w:tc>
          <w:tcPr>
            <w:tcW w:w="1965" w:type="pct"/>
            <w:shd w:val="clear" w:color="auto" w:fill="auto"/>
            <w:noWrap/>
            <w:vAlign w:val="center"/>
          </w:tcPr>
          <w:p w14:paraId="1C6551E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41583977.72 </w:t>
            </w:r>
          </w:p>
        </w:tc>
      </w:tr>
      <w:tr w14:paraId="2413A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23" w:type="pct"/>
            <w:shd w:val="clear" w:color="auto" w:fill="auto"/>
            <w:noWrap/>
            <w:vAlign w:val="center"/>
          </w:tcPr>
          <w:p w14:paraId="60BBC80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1810" w:type="pct"/>
            <w:shd w:val="clear" w:color="auto" w:fill="auto"/>
            <w:noWrap/>
            <w:vAlign w:val="center"/>
          </w:tcPr>
          <w:p w14:paraId="41DF99E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5722100.14 </w:t>
            </w:r>
          </w:p>
        </w:tc>
        <w:tc>
          <w:tcPr>
            <w:tcW w:w="1965" w:type="pct"/>
            <w:shd w:val="clear" w:color="auto" w:fill="auto"/>
            <w:noWrap/>
            <w:vAlign w:val="center"/>
          </w:tcPr>
          <w:p w14:paraId="0B0AE60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41583958.38 </w:t>
            </w:r>
          </w:p>
        </w:tc>
      </w:tr>
      <w:tr w14:paraId="0927C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1F82966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810" w:type="pct"/>
            <w:shd w:val="clear" w:color="auto" w:fill="auto"/>
            <w:noWrap/>
            <w:vAlign w:val="center"/>
          </w:tcPr>
          <w:p w14:paraId="35D14CB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5722145.62 </w:t>
            </w:r>
          </w:p>
        </w:tc>
        <w:tc>
          <w:tcPr>
            <w:tcW w:w="1965" w:type="pct"/>
            <w:shd w:val="clear" w:color="auto" w:fill="auto"/>
            <w:noWrap/>
            <w:vAlign w:val="center"/>
          </w:tcPr>
          <w:p w14:paraId="3E4AD92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41583952.41 </w:t>
            </w:r>
          </w:p>
        </w:tc>
      </w:tr>
      <w:tr w14:paraId="6DA4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6E79470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1810" w:type="pct"/>
            <w:shd w:val="clear" w:color="auto" w:fill="auto"/>
            <w:noWrap/>
            <w:vAlign w:val="center"/>
          </w:tcPr>
          <w:p w14:paraId="1D41479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5722188.37 </w:t>
            </w:r>
          </w:p>
        </w:tc>
        <w:tc>
          <w:tcPr>
            <w:tcW w:w="1965" w:type="pct"/>
            <w:shd w:val="clear" w:color="auto" w:fill="auto"/>
            <w:noWrap/>
            <w:vAlign w:val="center"/>
          </w:tcPr>
          <w:p w14:paraId="0EBA597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41583959.14 </w:t>
            </w:r>
          </w:p>
        </w:tc>
      </w:tr>
      <w:tr w14:paraId="3AA33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23" w:type="pct"/>
            <w:shd w:val="clear" w:color="auto" w:fill="auto"/>
            <w:noWrap/>
            <w:vAlign w:val="center"/>
          </w:tcPr>
          <w:p w14:paraId="124BE5C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1810" w:type="pct"/>
            <w:shd w:val="clear" w:color="auto" w:fill="auto"/>
            <w:noWrap/>
            <w:vAlign w:val="center"/>
          </w:tcPr>
          <w:p w14:paraId="4E4709C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5722268.58 </w:t>
            </w:r>
          </w:p>
        </w:tc>
        <w:tc>
          <w:tcPr>
            <w:tcW w:w="1965" w:type="pct"/>
            <w:shd w:val="clear" w:color="auto" w:fill="auto"/>
            <w:noWrap/>
            <w:vAlign w:val="center"/>
          </w:tcPr>
          <w:p w14:paraId="3DB2BE7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41584066.55 </w:t>
            </w:r>
          </w:p>
        </w:tc>
      </w:tr>
      <w:tr w14:paraId="57C8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23" w:type="pct"/>
            <w:shd w:val="clear" w:color="auto" w:fill="auto"/>
            <w:noWrap/>
            <w:vAlign w:val="center"/>
          </w:tcPr>
          <w:p w14:paraId="538B324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1810" w:type="pct"/>
            <w:shd w:val="clear" w:color="auto" w:fill="auto"/>
            <w:noWrap/>
            <w:vAlign w:val="center"/>
          </w:tcPr>
          <w:p w14:paraId="0DC6934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5722187.14 </w:t>
            </w:r>
          </w:p>
        </w:tc>
        <w:tc>
          <w:tcPr>
            <w:tcW w:w="1965" w:type="pct"/>
            <w:shd w:val="clear" w:color="auto" w:fill="auto"/>
            <w:noWrap/>
            <w:vAlign w:val="center"/>
          </w:tcPr>
          <w:p w14:paraId="795D99B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41584092.13 </w:t>
            </w:r>
          </w:p>
        </w:tc>
      </w:tr>
      <w:tr w14:paraId="2E5A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23" w:type="pct"/>
            <w:shd w:val="clear" w:color="auto" w:fill="auto"/>
            <w:noWrap/>
            <w:vAlign w:val="center"/>
          </w:tcPr>
          <w:p w14:paraId="62EC2D9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1810" w:type="pct"/>
            <w:shd w:val="clear" w:color="auto" w:fill="auto"/>
            <w:noWrap/>
            <w:vAlign w:val="center"/>
          </w:tcPr>
          <w:p w14:paraId="2B004AA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5722121.81 </w:t>
            </w:r>
          </w:p>
        </w:tc>
        <w:tc>
          <w:tcPr>
            <w:tcW w:w="1965" w:type="pct"/>
            <w:shd w:val="clear" w:color="auto" w:fill="auto"/>
            <w:noWrap/>
            <w:vAlign w:val="center"/>
          </w:tcPr>
          <w:p w14:paraId="167B681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41584047.41 </w:t>
            </w:r>
          </w:p>
        </w:tc>
      </w:tr>
      <w:tr w14:paraId="574F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154EC93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w:t>
            </w:r>
          </w:p>
        </w:tc>
        <w:tc>
          <w:tcPr>
            <w:tcW w:w="1810" w:type="pct"/>
            <w:shd w:val="clear" w:color="auto" w:fill="auto"/>
            <w:noWrap/>
            <w:vAlign w:val="center"/>
          </w:tcPr>
          <w:p w14:paraId="5AE1E1D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5722074.05 </w:t>
            </w:r>
          </w:p>
        </w:tc>
        <w:tc>
          <w:tcPr>
            <w:tcW w:w="1965" w:type="pct"/>
            <w:shd w:val="clear" w:color="auto" w:fill="auto"/>
            <w:noWrap/>
            <w:vAlign w:val="center"/>
          </w:tcPr>
          <w:p w14:paraId="6873FB4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41584070.18 </w:t>
            </w:r>
          </w:p>
        </w:tc>
      </w:tr>
      <w:tr w14:paraId="7ADD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1AE7574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1810" w:type="pct"/>
            <w:shd w:val="clear" w:color="auto" w:fill="auto"/>
            <w:noWrap/>
            <w:vAlign w:val="center"/>
          </w:tcPr>
          <w:p w14:paraId="3CF12F5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5722045.50 </w:t>
            </w:r>
          </w:p>
        </w:tc>
        <w:tc>
          <w:tcPr>
            <w:tcW w:w="1965" w:type="pct"/>
            <w:shd w:val="clear" w:color="auto" w:fill="auto"/>
            <w:noWrap/>
            <w:vAlign w:val="center"/>
          </w:tcPr>
          <w:p w14:paraId="5A93E14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41584090.03 </w:t>
            </w:r>
          </w:p>
        </w:tc>
      </w:tr>
      <w:tr w14:paraId="3846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113F20A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w:t>
            </w:r>
          </w:p>
        </w:tc>
        <w:tc>
          <w:tcPr>
            <w:tcW w:w="1810" w:type="pct"/>
            <w:shd w:val="clear" w:color="auto" w:fill="auto"/>
            <w:noWrap/>
            <w:vAlign w:val="center"/>
          </w:tcPr>
          <w:p w14:paraId="07F4638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5722040.18 </w:t>
            </w:r>
          </w:p>
        </w:tc>
        <w:tc>
          <w:tcPr>
            <w:tcW w:w="1965" w:type="pct"/>
            <w:shd w:val="clear" w:color="auto" w:fill="auto"/>
            <w:noWrap/>
            <w:vAlign w:val="center"/>
          </w:tcPr>
          <w:p w14:paraId="4348B4C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41584102.78 </w:t>
            </w:r>
          </w:p>
        </w:tc>
      </w:tr>
      <w:tr w14:paraId="5F08C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18705C8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1810" w:type="pct"/>
            <w:shd w:val="clear" w:color="auto" w:fill="auto"/>
            <w:noWrap/>
            <w:vAlign w:val="center"/>
          </w:tcPr>
          <w:p w14:paraId="39C5A90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5722065.64 </w:t>
            </w:r>
          </w:p>
        </w:tc>
        <w:tc>
          <w:tcPr>
            <w:tcW w:w="1965" w:type="pct"/>
            <w:shd w:val="clear" w:color="auto" w:fill="auto"/>
            <w:noWrap/>
            <w:vAlign w:val="center"/>
          </w:tcPr>
          <w:p w14:paraId="68511D6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41584126.38 </w:t>
            </w:r>
          </w:p>
        </w:tc>
      </w:tr>
      <w:tr w14:paraId="3EC45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798A313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w:t>
            </w:r>
          </w:p>
        </w:tc>
        <w:tc>
          <w:tcPr>
            <w:tcW w:w="1810" w:type="pct"/>
            <w:shd w:val="clear" w:color="auto" w:fill="auto"/>
            <w:noWrap/>
            <w:vAlign w:val="center"/>
          </w:tcPr>
          <w:p w14:paraId="72E5E99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5721983.52 </w:t>
            </w:r>
          </w:p>
        </w:tc>
        <w:tc>
          <w:tcPr>
            <w:tcW w:w="1965" w:type="pct"/>
            <w:shd w:val="clear" w:color="auto" w:fill="auto"/>
            <w:noWrap/>
            <w:vAlign w:val="center"/>
          </w:tcPr>
          <w:p w14:paraId="759AD9F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41584145.44 </w:t>
            </w:r>
          </w:p>
        </w:tc>
      </w:tr>
      <w:tr w14:paraId="2482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7D7B25D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1810" w:type="pct"/>
            <w:shd w:val="clear" w:color="auto" w:fill="auto"/>
            <w:noWrap/>
            <w:vAlign w:val="center"/>
          </w:tcPr>
          <w:p w14:paraId="5088CD0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5721896.56 </w:t>
            </w:r>
          </w:p>
        </w:tc>
        <w:tc>
          <w:tcPr>
            <w:tcW w:w="1965" w:type="pct"/>
            <w:shd w:val="clear" w:color="auto" w:fill="auto"/>
            <w:noWrap/>
            <w:vAlign w:val="center"/>
          </w:tcPr>
          <w:p w14:paraId="3D61467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41584153.98 </w:t>
            </w:r>
          </w:p>
        </w:tc>
      </w:tr>
      <w:tr w14:paraId="0F8B7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23" w:type="pct"/>
            <w:shd w:val="clear" w:color="auto" w:fill="auto"/>
            <w:noWrap/>
            <w:vAlign w:val="center"/>
          </w:tcPr>
          <w:p w14:paraId="4AF09E6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w:t>
            </w:r>
          </w:p>
        </w:tc>
        <w:tc>
          <w:tcPr>
            <w:tcW w:w="1810" w:type="pct"/>
            <w:shd w:val="clear" w:color="auto" w:fill="auto"/>
            <w:noWrap/>
            <w:vAlign w:val="center"/>
          </w:tcPr>
          <w:p w14:paraId="7434EA3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5721885.27 </w:t>
            </w:r>
          </w:p>
        </w:tc>
        <w:tc>
          <w:tcPr>
            <w:tcW w:w="1965" w:type="pct"/>
            <w:shd w:val="clear" w:color="auto" w:fill="auto"/>
            <w:noWrap/>
            <w:vAlign w:val="center"/>
          </w:tcPr>
          <w:p w14:paraId="64BF9B8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41584084.89 </w:t>
            </w:r>
          </w:p>
        </w:tc>
      </w:tr>
      <w:tr w14:paraId="2F45A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23" w:type="pct"/>
            <w:shd w:val="clear" w:color="auto" w:fill="auto"/>
            <w:noWrap/>
            <w:vAlign w:val="center"/>
          </w:tcPr>
          <w:p w14:paraId="5B4D0F1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16</w:t>
            </w:r>
          </w:p>
        </w:tc>
        <w:tc>
          <w:tcPr>
            <w:tcW w:w="1810" w:type="pct"/>
            <w:shd w:val="clear" w:color="auto" w:fill="auto"/>
            <w:noWrap/>
            <w:vAlign w:val="center"/>
          </w:tcPr>
          <w:p w14:paraId="671CE55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5721875.44 </w:t>
            </w:r>
          </w:p>
        </w:tc>
        <w:tc>
          <w:tcPr>
            <w:tcW w:w="1965" w:type="pct"/>
            <w:shd w:val="clear" w:color="auto" w:fill="auto"/>
            <w:noWrap/>
            <w:vAlign w:val="center"/>
          </w:tcPr>
          <w:p w14:paraId="2DACC1D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41584014.29 </w:t>
            </w:r>
          </w:p>
        </w:tc>
      </w:tr>
      <w:tr w14:paraId="59F17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23" w:type="pct"/>
            <w:shd w:val="clear" w:color="auto" w:fill="auto"/>
            <w:noWrap/>
            <w:vAlign w:val="center"/>
          </w:tcPr>
          <w:p w14:paraId="35D9CE8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17</w:t>
            </w:r>
          </w:p>
        </w:tc>
        <w:tc>
          <w:tcPr>
            <w:tcW w:w="1810" w:type="pct"/>
            <w:shd w:val="clear" w:color="auto" w:fill="auto"/>
            <w:noWrap/>
            <w:vAlign w:val="center"/>
          </w:tcPr>
          <w:p w14:paraId="1775C21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5721900.00 </w:t>
            </w:r>
          </w:p>
        </w:tc>
        <w:tc>
          <w:tcPr>
            <w:tcW w:w="1965" w:type="pct"/>
            <w:shd w:val="clear" w:color="auto" w:fill="auto"/>
            <w:noWrap/>
            <w:vAlign w:val="center"/>
          </w:tcPr>
          <w:p w14:paraId="0A35501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41583999.73 </w:t>
            </w:r>
          </w:p>
        </w:tc>
      </w:tr>
      <w:tr w14:paraId="4DE0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0" w:hRule="atLeast"/>
        </w:trPr>
        <w:tc>
          <w:tcPr>
            <w:tcW w:w="5000" w:type="pct"/>
            <w:gridSpan w:val="3"/>
            <w:shd w:val="clear" w:color="auto" w:fill="auto"/>
            <w:noWrap/>
            <w:vAlign w:val="center"/>
          </w:tcPr>
          <w:p w14:paraId="4AB7F462">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Style w:val="4"/>
                <w:rFonts w:hint="eastAsia"/>
                <w:color w:val="auto"/>
                <w:highlight w:val="none"/>
                <w:lang w:val="en-US" w:eastAsia="zh-CN" w:bidi="ar"/>
              </w:rPr>
              <w:t xml:space="preserve">  </w:t>
            </w:r>
            <w:r>
              <w:rPr>
                <w:rStyle w:val="4"/>
                <w:rFonts w:hint="eastAsia"/>
                <w:color w:val="auto"/>
                <w:highlight w:val="none"/>
                <w:vertAlign w:val="baseline"/>
                <w:lang w:val="en-US" w:eastAsia="zh-CN" w:bidi="ar"/>
              </w:rPr>
              <w:t xml:space="preserve"> 开采标高：652-616m</w:t>
            </w:r>
          </w:p>
        </w:tc>
      </w:tr>
    </w:tbl>
    <w:p w14:paraId="7454EE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资源储量：推断资源量16万m³，可采资源量15.52万立方米。</w:t>
      </w:r>
    </w:p>
    <w:p w14:paraId="691A30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生产规模：7.76万立方米/年</w:t>
      </w:r>
    </w:p>
    <w:p w14:paraId="459163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拟出让年限：2年</w:t>
      </w:r>
    </w:p>
    <w:p w14:paraId="33D589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起始价：22.66万元（大写贰拾贰万陆仟陆佰元整）</w:t>
      </w:r>
    </w:p>
    <w:p w14:paraId="0F15C5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增价幅度：1万元或1万元的整倍数</w:t>
      </w:r>
    </w:p>
    <w:p w14:paraId="6D8A99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资源开发利用情况：新建矿山，须按照矿山开采方案进行开采。</w:t>
      </w:r>
    </w:p>
    <w:p w14:paraId="34539F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多目标管理、开发全过程的动态管理要求：⑴采矿权人必须严格按照《开采方案》设计进行生产。⑵采矿权人需向自然资源管理部门报送《矿产资源储量年度报告》，配合完成全过程的动态监管。⑶采矿权人需按照《矿区生态修复方案》要求，对竞得的矿区范围开展地质环境恢复与土地复垦工作，其恢复治理责任由竞得人一并履行。</w:t>
      </w:r>
    </w:p>
    <w:p w14:paraId="7BC70B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矿山地质环境保护及土地复垦要求：竞得人需编制矿区生态修复方案，须按照方案落实矿山地质环境保护与土地复垦义务。</w:t>
      </w:r>
    </w:p>
    <w:p w14:paraId="67B438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四、竞买人的资质条件</w:t>
      </w:r>
    </w:p>
    <w:p w14:paraId="46561E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（一）竞买人必须是在中华人民共和国依法注册的具有独立法人资格的企业。</w:t>
      </w:r>
    </w:p>
    <w:p w14:paraId="7337BB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（二）竞买人需具备与勘查开采相匹配的资金实力等要求。</w:t>
      </w:r>
    </w:p>
    <w:p w14:paraId="318E8F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（三）竞买人未列入“信用中国”失信联合惩戒对象和失信黑名单，未列入自然资源主管部门采矿权人严重违法名单。</w:t>
      </w:r>
    </w:p>
    <w:p w14:paraId="4D6A84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（四）竞买人若发生《矿业权出让交易规则》第三十七条规定情形之一的，视为违约，将按照公告或者合同约定承担相应的违约责任，接受公共资源交易领域失信联合惩戒。</w:t>
      </w:r>
    </w:p>
    <w:p w14:paraId="530FF4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五、出让方式及交易的时间、地点</w:t>
      </w:r>
    </w:p>
    <w:p w14:paraId="0541E3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出让方式：挂牌</w:t>
      </w:r>
    </w:p>
    <w:p w14:paraId="05BE6D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挂牌时间为：2026年1月19日09时00分至2026年1月30日16时00分止。</w:t>
      </w:r>
    </w:p>
    <w:p w14:paraId="66F57D80">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2"/>
          <w:kern w:val="0"/>
          <w:sz w:val="32"/>
          <w:szCs w:val="32"/>
          <w:fitText w:val="4800" w:id="1376337413"/>
        </w:rPr>
        <w:t>地点：黑龙江省公共资源交易</w:t>
      </w:r>
      <w:r>
        <w:rPr>
          <w:rFonts w:hint="eastAsia" w:ascii="仿宋_GB2312" w:hAnsi="仿宋_GB2312" w:eastAsia="仿宋_GB2312" w:cs="仿宋_GB2312"/>
          <w:spacing w:val="4"/>
          <w:kern w:val="0"/>
          <w:sz w:val="32"/>
          <w:szCs w:val="32"/>
          <w:fitText w:val="4800" w:id="1376337413"/>
        </w:rPr>
        <w:t>网</w:t>
      </w:r>
      <w:r>
        <w:rPr>
          <w:rFonts w:hint="eastAsia" w:ascii="仿宋_GB2312" w:hAnsi="仿宋_GB2312" w:eastAsia="仿宋_GB2312" w:cs="仿宋_GB2312"/>
          <w:sz w:val="32"/>
          <w:szCs w:val="32"/>
        </w:rPr>
        <w:t>（http://ggzyjyw.hlj.gov.cn/）</w:t>
      </w:r>
    </w:p>
    <w:p w14:paraId="15CD05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六、获取挂牌文件的途径和申请报名的起止时间及方式</w:t>
      </w:r>
    </w:p>
    <w:p w14:paraId="1B9333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本次采矿权挂牌出让活动采取在互联网上交易的方式，即通过黑龙江省公共资源</w:t>
      </w:r>
      <w:r>
        <w:rPr>
          <w:rFonts w:hint="eastAsia" w:ascii="仿宋_GB2312" w:hAnsi="仿宋_GB2312" w:eastAsia="仿宋_GB2312" w:cs="仿宋_GB2312"/>
          <w:sz w:val="32"/>
          <w:szCs w:val="32"/>
          <w:lang w:val="en-US" w:eastAsia="zh-CN"/>
        </w:rPr>
        <w:t>交易网</w:t>
      </w:r>
      <w:r>
        <w:rPr>
          <w:rFonts w:hint="eastAsia" w:ascii="仿宋_GB2312" w:hAnsi="仿宋_GB2312" w:eastAsia="仿宋_GB2312" w:cs="仿宋_GB2312"/>
          <w:sz w:val="32"/>
          <w:szCs w:val="32"/>
        </w:rPr>
        <w:t>进行交易，竞买申请人须按照平台要求办理相关业务。</w:t>
      </w:r>
    </w:p>
    <w:p w14:paraId="532FEF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申请报名的起止时间：2025年12月19日09时00分—2026年1月16日16时00分止。</w:t>
      </w:r>
    </w:p>
    <w:p w14:paraId="3A0116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报名方式：竞买申请人可于网上申请报名时限内登录网上交易系统，通过系统填写竞买申请，选择银行，获得保证金子账号。竞买人应当向此账号交纳竞买保证金5万元，交易系统在接收到足额的竞买保证金的到账信息后予以确认其竞买资格，竞买保证金到账截止时间为2026年1月16日16时，取得竞买资格的申请人应当在网上挂牌（网上报价）时间内登录网上交易系统进行报价。</w:t>
      </w:r>
    </w:p>
    <w:p w14:paraId="658E92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保证金处置方式：竞得人的竞买保证金，在挂牌结束后5个工作日内予以原路退还不计利息，竞得人签订采矿权合同后到国家税务总局新林区税务局全额缴纳采矿权出让收益；未竞得人的竞买保证金在挂牌活动结束后5个工作日内予以退还，不计利息。</w:t>
      </w:r>
    </w:p>
    <w:p w14:paraId="29D23B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七、确定中标人/竞得人的标准和方法</w:t>
      </w:r>
    </w:p>
    <w:p w14:paraId="417B53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（一）本次出让采用挂牌方式交易。挂牌截止时，有两个或两个以上竞买人要求继续竞买的，则进入网上限时竞价环节。</w:t>
      </w:r>
    </w:p>
    <w:p w14:paraId="76238B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（二）本次出让采用增价竞价的方式，按照价高者得原则确定竞得人。</w:t>
      </w:r>
    </w:p>
    <w:p w14:paraId="6F249A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八、风险提示</w:t>
      </w:r>
    </w:p>
    <w:p w14:paraId="38BA99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次挂牌出让的采矿权，其地质报告、开采方案、出让收益评估报告等均由具有相应资质的机构出具，但有关矿体的规模、形态、储量、品位等可能与实际开采有差距，存在不可预见的风险，竞得人竞买成交后必须承担相应的风险，出让方不作任何承诺。竞得人在矿山生产、开发利用过程中所产生的投资风险、采矿风险及安全风险等，均自行承担。</w:t>
      </w:r>
    </w:p>
    <w:p w14:paraId="46E59F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（二）竞得人需自行办理矿山立项、用地、设计、安全、环保、林业、水土保持等其他相关手续，所需费用由竞得人自行承担。</w:t>
      </w:r>
    </w:p>
    <w:p w14:paraId="5C170D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（三）竞买人参与竞买前应到矿区实地进行踏勘，充分了解出让采矿权矿区的现状和周边土地、山权、林权、道路、地下管线、水电供给、地表附着物、社群关系等影响资源开采的外部条件，踏勘费用自理。</w:t>
      </w:r>
    </w:p>
    <w:p w14:paraId="71B34F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b w:val="0"/>
          <w:bCs w:val="0"/>
          <w:sz w:val="32"/>
          <w:szCs w:val="32"/>
        </w:rPr>
        <w:t>九、对交易矿业权异议的处理方式</w:t>
      </w:r>
    </w:p>
    <w:p w14:paraId="1982D2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本次出让的采矿权存有异议的，应在公告期截止前以书面方式向新林区自然资源局提出；对出让交易程序存有异议的，应在结果公示期截止前以书面方式向黑龙江省公共资源交易平台提出。根据所提异议的具体情况，按照《矿业权出让交易规则》等相关规定进行妥善处置。</w:t>
      </w:r>
    </w:p>
    <w:p w14:paraId="0630DC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十、失信联合惩戒提示</w:t>
      </w:r>
    </w:p>
    <w:p w14:paraId="776CC3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有下列情形之一的，视为投标人、竞买人、中标人、竞得人违约，按照公告或者合同约定承担相应的违约责任，接受公共资源交易领域失信联合惩戒:</w:t>
      </w:r>
    </w:p>
    <w:p w14:paraId="1D5835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（一）投标人相互串通投标、竞买人之间串通报价，损害国家利益、社会公共利益或者他人合法权益的</w:t>
      </w:r>
      <w:r>
        <w:rPr>
          <w:rFonts w:hint="eastAsia" w:ascii="仿宋_GB2312" w:hAnsi="仿宋_GB2312" w:eastAsia="仿宋_GB2312" w:cs="仿宋_GB2312"/>
          <w:sz w:val="32"/>
          <w:szCs w:val="32"/>
          <w:lang w:eastAsia="zh-CN"/>
        </w:rPr>
        <w:t>。</w:t>
      </w:r>
    </w:p>
    <w:p w14:paraId="7AFE09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）投标人、竞买人弄虚作假，骗取交易资格或中标、竞得的</w:t>
      </w:r>
      <w:r>
        <w:rPr>
          <w:rFonts w:hint="eastAsia" w:ascii="仿宋_GB2312" w:hAnsi="仿宋_GB2312" w:eastAsia="仿宋_GB2312" w:cs="仿宋_GB2312"/>
          <w:sz w:val="32"/>
          <w:szCs w:val="32"/>
          <w:lang w:eastAsia="zh-CN"/>
        </w:rPr>
        <w:t>。</w:t>
      </w:r>
    </w:p>
    <w:p w14:paraId="7D4B6D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）中标人放弃中标项目的、竞得人拒绝签订矿业权成交确认书，中标人、竞得人逾期不签订或者拒绝签订出让合同的</w:t>
      </w:r>
      <w:r>
        <w:rPr>
          <w:rFonts w:hint="eastAsia" w:ascii="仿宋_GB2312" w:hAnsi="仿宋_GB2312" w:eastAsia="仿宋_GB2312" w:cs="仿宋_GB2312"/>
          <w:sz w:val="32"/>
          <w:szCs w:val="32"/>
          <w:lang w:eastAsia="zh-CN"/>
        </w:rPr>
        <w:t>。</w:t>
      </w:r>
    </w:p>
    <w:p w14:paraId="4B90E9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）中标人、竞得人未按约定的时间付清约定的矿业权出让收益或者其他相关费用的</w:t>
      </w:r>
      <w:r>
        <w:rPr>
          <w:rFonts w:hint="eastAsia" w:ascii="仿宋_GB2312" w:hAnsi="仿宋_GB2312" w:eastAsia="仿宋_GB2312" w:cs="仿宋_GB2312"/>
          <w:sz w:val="32"/>
          <w:szCs w:val="32"/>
          <w:lang w:eastAsia="zh-CN"/>
        </w:rPr>
        <w:t>。</w:t>
      </w:r>
    </w:p>
    <w:p w14:paraId="4FFA9C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）向主管部门或者评标委员会及其成员行贿或者采取其他不正当手段中标或者竞得的</w:t>
      </w:r>
      <w:r>
        <w:rPr>
          <w:rFonts w:hint="eastAsia" w:ascii="仿宋_GB2312" w:hAnsi="仿宋_GB2312" w:eastAsia="仿宋_GB2312" w:cs="仿宋_GB2312"/>
          <w:sz w:val="32"/>
          <w:szCs w:val="32"/>
          <w:lang w:eastAsia="zh-CN"/>
        </w:rPr>
        <w:t>。</w:t>
      </w:r>
    </w:p>
    <w:p w14:paraId="330C23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）其他依法应当认定为违约的情形。</w:t>
      </w:r>
    </w:p>
    <w:p w14:paraId="41A2F0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十一、特别约定事项</w:t>
      </w:r>
    </w:p>
    <w:p w14:paraId="676144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（一）该矿为国道京漠公路加格达奇至瓦拉干段改扩建工程项目所设采矿权，按照《黑龙江省自然资源厅关于加强全要素保障全力推动重大基础设施项目建设的指导意见(试行) 》（黑自然资发〔2023〕15号）和关于调整《关于加强全要素保障 全力推动重大基础设施项目建设的指导意见（试行）》有关规定的通知(黑自然资函〔2024〕383 号)文件精神，本次采矿权采取一次性出让，采矿证到期后不予办理采矿权延续，所竞买资源必须专项专用，一律不得对外销售，项目工期结束后矿区应立即关闭。</w:t>
      </w:r>
    </w:p>
    <w:p w14:paraId="7B1A4C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（二）采矿权竞得人在签订《成交确认书》之日起10个工作日内与出让人签订《采矿权出让合同》。</w:t>
      </w:r>
    </w:p>
    <w:p w14:paraId="785EFD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（三）竞得人与出让人签订《采矿权出让合同》后，要按照合同约定一次性缴纳采矿权出让收益。逾期未签订《采矿权出让合同》或逾期不缴纳采矿权出让收益的，视为自行放弃采矿权。</w:t>
      </w:r>
    </w:p>
    <w:p w14:paraId="04FD4B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（四）公告时间内如有其他变更事项，出让人将及时发布补充公告，补充公告与本公告具有同等效力。</w:t>
      </w:r>
    </w:p>
    <w:p w14:paraId="2802A0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（五）新林区自然资源局联系方式。联系人：李大庆；联系电话：0457-3189953。</w:t>
      </w:r>
    </w:p>
    <w:p w14:paraId="3968E9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本公告在新林区政府门户网站、黑龙江省公共资源交易网、自然资源部门户网站同时发布。</w:t>
      </w:r>
    </w:p>
    <w:p w14:paraId="389A938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14:paraId="1C30F49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48C658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2945A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217FCF3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2D7D69F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p>
    <w:p w14:paraId="1FDC4629">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p>
    <w:p w14:paraId="49356B79">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p>
    <w:p w14:paraId="7A8E45AB">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p>
    <w:p w14:paraId="16D0CB8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新林区自然资源局</w:t>
      </w:r>
    </w:p>
    <w:p w14:paraId="5A008AD2">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2025年12月19日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D64215"/>
    <w:rsid w:val="2ADB31E1"/>
    <w:rsid w:val="33723946"/>
    <w:rsid w:val="34C53F49"/>
    <w:rsid w:val="4251506E"/>
    <w:rsid w:val="4800731A"/>
    <w:rsid w:val="53DA7219"/>
    <w:rsid w:val="58705DF6"/>
    <w:rsid w:val="5E5E4943"/>
    <w:rsid w:val="5F337B7D"/>
    <w:rsid w:val="5FE265C7"/>
    <w:rsid w:val="676905E0"/>
    <w:rsid w:val="68E048D2"/>
    <w:rsid w:val="69E71C90"/>
    <w:rsid w:val="6CE40709"/>
    <w:rsid w:val="6D6830E8"/>
    <w:rsid w:val="74F51705"/>
    <w:rsid w:val="77BF5FFA"/>
    <w:rsid w:val="794A5D98"/>
    <w:rsid w:val="7B273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color w:val="000000"/>
      <w:sz w:val="22"/>
      <w:szCs w:val="22"/>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2706</Words>
  <Characters>3181</Characters>
  <Lines>0</Lines>
  <Paragraphs>0</Paragraphs>
  <TotalTime>2</TotalTime>
  <ScaleCrop>false</ScaleCrop>
  <LinksUpToDate>false</LinksUpToDate>
  <CharactersWithSpaces>3222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2025-12-17T07:09:00Z</dcterms:created>
  <dc:creator>Administrator</dc:creator>
  <cp:lastModifiedBy>跪在坚持</cp:lastModifiedBy>
  <dcterms:modified xsi:type="dcterms:W3CDTF">2025-12-18T02:43:25Z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eyJoZGlkIjoiZDg4OTI3YjdhZDBmYWE0OWQzYzk2NDdlYzRhNzE3MzUiLCJ1c2VySWQiOiI2NTI3OTE3MzYifQ==</vt:lpwstr>
  </property>
  <property fmtid="{D5CDD505-2E9C-101B-9397-08002B2CF9AE}" pid="4" name="ICV">
    <vt:lpwstr>2939F8F51AD947FA86D0DBA83F0ECDFC_12</vt:lpwstr>
  </property>
</Properties>
</file>